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WarRoom 周末班学生手册</w:t>
      </w:r>
    </w:p>
    <w:p>
      <w:pPr>
        <w:pStyle w:val="Heading1"/>
      </w:pPr>
      <w:r>
        <w:t>经营目标</w:t>
      </w:r>
    </w:p>
    <w:p>
      <w:r>
        <w:t>在多周期竞争中平衡收入、利润、现金、份额与风险，并能向董事会解释因果。</w:t>
      </w:r>
    </w:p>
    <w:p>
      <w:pPr>
        <w:pStyle w:val="Heading1"/>
      </w:pPr>
      <w:r>
        <w:t>角色分工</w:t>
      </w:r>
    </w:p>
    <w:p>
      <w:r>
        <w:t>CEO：总体战略与最终批准。</w:t>
      </w:r>
    </w:p>
    <w:p>
      <w:r>
        <w:t>CFO：现金、融资、财务屏。</w:t>
      </w:r>
    </w:p>
    <w:p>
      <w:r>
        <w:t>CMO：价格、营销、市场调研。</w:t>
      </w:r>
    </w:p>
    <w:p>
      <w:r>
        <w:t>COO：产能、物流、合同交付。</w:t>
      </w:r>
    </w:p>
    <w:p>
      <w:r>
        <w:t>CTO：研发、质量、AI 与数据。</w:t>
      </w:r>
    </w:p>
    <w:p>
      <w:pPr>
        <w:pStyle w:val="Heading1"/>
      </w:pPr>
      <w:r>
        <w:t>课堂提醒</w:t>
      </w:r>
    </w:p>
    <w:p>
      <w:r>
        <w:t>不要只看价格和产量，还要判断区域定价、双碳成本、调研和合同拍卖。</w:t>
      </w:r>
    </w:p>
    <w:p>
      <w:r>
        <w:t>工作台待办：先保存再批准；RESULTS「即将开始」时可查看上期。</w:t>
      </w:r>
    </w:p>
    <w:p>
      <w:r>
        <w:t>董事会预演在工作台，按你的角色自问后再提交。</w:t>
      </w:r>
    </w:p>
    <w:p>
      <w:pPr>
        <w:pStyle w:val="Heading1"/>
      </w:pPr>
      <w:r>
        <w:t>登录</w:t>
      </w:r>
    </w:p>
    <w:p>
      <w:r>
        <w:t>打开 /login，选 Universe / Firm / 角色，密码见登录表。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